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6E1EF9" w:rsidP="004A6D2F">
            <w:pPr>
              <w:rPr>
                <w:rStyle w:val="Firstpagetablebold"/>
              </w:rPr>
            </w:pPr>
            <w:r>
              <w:rPr>
                <w:b/>
                <w:bCs/>
              </w:rPr>
              <w:t>Standards 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0C4E7F" w:rsidP="005D0621">
            <w:pPr>
              <w:rPr>
                <w:b/>
              </w:rPr>
            </w:pPr>
            <w:r>
              <w:rPr>
                <w:b/>
              </w:rPr>
              <w:t>24 June</w:t>
            </w:r>
            <w:r w:rsidR="00506109">
              <w:rPr>
                <w:b/>
              </w:rPr>
              <w:t xml:space="preserve"> 2019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C091B" w:rsidP="004A6D2F">
            <w:pPr>
              <w:rPr>
                <w:rStyle w:val="Firstpagetablebold"/>
              </w:rPr>
            </w:pPr>
            <w:r>
              <w:rPr>
                <w:b/>
                <w:bCs/>
              </w:rPr>
              <w:t xml:space="preserve">Monitoring Officer / </w:t>
            </w:r>
            <w:r w:rsidR="006E1EF9">
              <w:rPr>
                <w:b/>
                <w:bCs/>
              </w:rPr>
              <w:t>Head of Law and Governance</w:t>
            </w:r>
          </w:p>
        </w:tc>
      </w:tr>
      <w:tr w:rsidR="00CE544A" w:rsidRPr="00A17030" w:rsidTr="005F7F7E">
        <w:tc>
          <w:tcPr>
            <w:tcW w:w="2438" w:type="dxa"/>
            <w:shd w:val="clear" w:color="auto" w:fill="auto"/>
          </w:tcPr>
          <w:p w:rsidR="00F445B1" w:rsidRPr="00A17030" w:rsidRDefault="00F445B1" w:rsidP="004A6D2F">
            <w:pPr>
              <w:rPr>
                <w:rStyle w:val="Firstpagetablebold"/>
                <w:color w:val="auto"/>
              </w:rPr>
            </w:pPr>
            <w:r w:rsidRPr="00A17030">
              <w:rPr>
                <w:rStyle w:val="Firstpagetablebold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A17030" w:rsidRDefault="004521FD" w:rsidP="00506109">
            <w:pPr>
              <w:spacing w:after="0"/>
              <w:rPr>
                <w:rStyle w:val="Firstpagetablebold"/>
                <w:color w:val="auto"/>
              </w:rPr>
            </w:pPr>
            <w:r w:rsidRPr="00A17030">
              <w:rPr>
                <w:rFonts w:eastAsiaTheme="minorHAnsi" w:cs="Arial"/>
                <w:b/>
                <w:color w:val="auto"/>
                <w:lang w:eastAsia="en-US"/>
              </w:rPr>
              <w:t xml:space="preserve">Committee on Standards in Public Life – Local Government Ethical Standards </w:t>
            </w:r>
          </w:p>
        </w:tc>
      </w:tr>
    </w:tbl>
    <w:p w:rsidR="004F20EF" w:rsidRPr="00A17030" w:rsidRDefault="004F20E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A17030" w:rsidRPr="00A17030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Pr="00A17030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A17030">
              <w:rPr>
                <w:rStyle w:val="Firstpagetablebold"/>
                <w:color w:val="auto"/>
              </w:rPr>
              <w:t>Summary and r</w:t>
            </w:r>
            <w:r w:rsidR="00D5547E" w:rsidRPr="00A17030">
              <w:rPr>
                <w:rStyle w:val="Firstpagetablebold"/>
                <w:color w:val="auto"/>
              </w:rPr>
              <w:t>ecommendations</w:t>
            </w:r>
          </w:p>
        </w:tc>
      </w:tr>
      <w:tr w:rsidR="00A17030" w:rsidRPr="00A17030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A17030" w:rsidRDefault="00D5547E">
            <w:pPr>
              <w:rPr>
                <w:rStyle w:val="Firstpagetablebold"/>
                <w:color w:val="auto"/>
              </w:rPr>
            </w:pPr>
            <w:r w:rsidRPr="00A17030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A17030" w:rsidRDefault="00E302F1" w:rsidP="000C4E7F">
            <w:pPr>
              <w:rPr>
                <w:b/>
                <w:color w:val="auto"/>
              </w:rPr>
            </w:pPr>
            <w:r w:rsidRPr="00A17030">
              <w:rPr>
                <w:b/>
                <w:color w:val="auto"/>
              </w:rPr>
              <w:t xml:space="preserve">This report </w:t>
            </w:r>
            <w:r w:rsidR="004521FD" w:rsidRPr="00A17030">
              <w:rPr>
                <w:b/>
                <w:color w:val="auto"/>
              </w:rPr>
              <w:t>informs</w:t>
            </w:r>
            <w:r w:rsidRPr="00A17030">
              <w:rPr>
                <w:b/>
                <w:color w:val="auto"/>
              </w:rPr>
              <w:t xml:space="preserve"> the Committee</w:t>
            </w:r>
            <w:r w:rsidR="004521FD" w:rsidRPr="00A17030">
              <w:rPr>
                <w:rFonts w:eastAsiaTheme="minorHAnsi" w:cs="Arial"/>
                <w:b/>
                <w:color w:val="auto"/>
                <w:lang w:eastAsia="en-US"/>
              </w:rPr>
              <w:t xml:space="preserve"> of </w:t>
            </w:r>
            <w:r w:rsidR="000C4E7F">
              <w:rPr>
                <w:rFonts w:eastAsiaTheme="minorHAnsi" w:cs="Arial"/>
                <w:b/>
                <w:color w:val="auto"/>
                <w:lang w:eastAsia="en-US"/>
              </w:rPr>
              <w:t xml:space="preserve">the progress in implementing </w:t>
            </w:r>
            <w:r w:rsidR="004521FD" w:rsidRPr="00A17030">
              <w:rPr>
                <w:rFonts w:eastAsiaTheme="minorHAnsi" w:cs="Arial"/>
                <w:b/>
                <w:color w:val="auto"/>
                <w:lang w:eastAsia="en-US"/>
              </w:rPr>
              <w:t xml:space="preserve">the </w:t>
            </w:r>
            <w:r w:rsidR="000C4E7F">
              <w:rPr>
                <w:rFonts w:eastAsiaTheme="minorHAnsi" w:cs="Arial"/>
                <w:b/>
                <w:color w:val="auto"/>
                <w:lang w:eastAsia="en-US"/>
              </w:rPr>
              <w:t xml:space="preserve">recommendations </w:t>
            </w:r>
            <w:r w:rsidR="0030365D" w:rsidRPr="00A17030">
              <w:rPr>
                <w:rFonts w:eastAsiaTheme="minorHAnsi" w:cs="Arial"/>
                <w:b/>
                <w:color w:val="auto"/>
                <w:lang w:eastAsia="en-US"/>
              </w:rPr>
              <w:t xml:space="preserve">of the </w:t>
            </w:r>
            <w:r w:rsidR="004521FD" w:rsidRPr="00A17030">
              <w:rPr>
                <w:rFonts w:eastAsiaTheme="minorHAnsi" w:cs="Arial"/>
                <w:b/>
                <w:color w:val="auto"/>
                <w:lang w:eastAsia="en-US"/>
              </w:rPr>
              <w:t xml:space="preserve">Committee on Standards in Public Life </w:t>
            </w:r>
            <w:r w:rsidR="0030365D" w:rsidRPr="00A17030">
              <w:rPr>
                <w:rFonts w:eastAsiaTheme="minorHAnsi" w:cs="Arial"/>
                <w:b/>
                <w:color w:val="auto"/>
                <w:lang w:eastAsia="en-US"/>
              </w:rPr>
              <w:t>report on</w:t>
            </w:r>
            <w:r w:rsidR="004521FD" w:rsidRPr="00A17030">
              <w:rPr>
                <w:rFonts w:eastAsiaTheme="minorHAnsi" w:cs="Arial"/>
                <w:b/>
                <w:color w:val="auto"/>
                <w:lang w:eastAsia="en-US"/>
              </w:rPr>
              <w:t xml:space="preserve"> Local Government Ethical Standards</w:t>
            </w:r>
            <w:r w:rsidRPr="00A17030">
              <w:rPr>
                <w:b/>
                <w:color w:val="auto"/>
              </w:rPr>
              <w:t>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E1EF9" w:rsidP="005F7F7E">
            <w:r>
              <w:t>No</w:t>
            </w:r>
          </w:p>
        </w:tc>
      </w:tr>
      <w:tr w:rsidR="005F7F7E" w:rsidRPr="00975B07" w:rsidTr="004521FD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:rsidR="004E3B9B" w:rsidRDefault="006E1EF9" w:rsidP="004E3B9B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</w:p>
          <w:p w:rsidR="00AE3E93" w:rsidRDefault="005F7F7E" w:rsidP="002E7C98">
            <w:pPr>
              <w:rPr>
                <w:rStyle w:val="Firstpagetablebold"/>
                <w:color w:val="auto"/>
              </w:rPr>
            </w:pPr>
            <w:r w:rsidRPr="000E53F5">
              <w:rPr>
                <w:rStyle w:val="Firstpagetablebold"/>
                <w:color w:val="auto"/>
              </w:rPr>
              <w:t xml:space="preserve">That the </w:t>
            </w:r>
            <w:r w:rsidR="00DC091B" w:rsidRPr="000E53F5">
              <w:rPr>
                <w:rStyle w:val="Firstpagetablebold"/>
                <w:color w:val="auto"/>
              </w:rPr>
              <w:t xml:space="preserve">Standards </w:t>
            </w:r>
            <w:r w:rsidR="006E1EF9" w:rsidRPr="000E53F5">
              <w:rPr>
                <w:rStyle w:val="Firstpagetablebold"/>
                <w:color w:val="auto"/>
              </w:rPr>
              <w:t xml:space="preserve">Committee </w:t>
            </w:r>
            <w:r w:rsidR="00AE3E93">
              <w:rPr>
                <w:rStyle w:val="Firstpagetablebold"/>
                <w:color w:val="auto"/>
              </w:rPr>
              <w:t>resolves to:</w:t>
            </w:r>
          </w:p>
          <w:p w:rsidR="00AE3E93" w:rsidRPr="00AE3E93" w:rsidRDefault="00AE3E93" w:rsidP="00AE3E93">
            <w:pPr>
              <w:pStyle w:val="ListParagraph"/>
              <w:numPr>
                <w:ilvl w:val="0"/>
                <w:numId w:val="27"/>
              </w:numPr>
              <w:rPr>
                <w:rStyle w:val="Firstpagetablebold"/>
                <w:color w:val="auto"/>
              </w:rPr>
            </w:pPr>
            <w:r w:rsidRPr="00AE3E93">
              <w:rPr>
                <w:rStyle w:val="Firstpagetablebold"/>
                <w:color w:val="auto"/>
              </w:rPr>
              <w:t xml:space="preserve">note the report; and </w:t>
            </w:r>
          </w:p>
          <w:p w:rsidR="005F7F7E" w:rsidRPr="00AE3E93" w:rsidRDefault="00AE3E93" w:rsidP="00AE3E93">
            <w:pPr>
              <w:pStyle w:val="ListParagraph"/>
              <w:numPr>
                <w:ilvl w:val="0"/>
                <w:numId w:val="27"/>
              </w:numPr>
              <w:rPr>
                <w:b/>
                <w:i/>
                <w:color w:val="FF0000"/>
              </w:rPr>
            </w:pPr>
            <w:proofErr w:type="gramStart"/>
            <w:r w:rsidRPr="00AE3E93">
              <w:rPr>
                <w:rStyle w:val="Firstpagetablebold"/>
                <w:color w:val="auto"/>
              </w:rPr>
              <w:t>consider</w:t>
            </w:r>
            <w:proofErr w:type="gramEnd"/>
            <w:r w:rsidRPr="00AE3E93">
              <w:rPr>
                <w:rStyle w:val="Firstpagetablebold"/>
                <w:color w:val="auto"/>
              </w:rPr>
              <w:t xml:space="preserve"> whether there are any particular recommendations from the Committee on Standards in Public Life that the Committee would like to consider further at a future meeting.</w:t>
            </w:r>
          </w:p>
        </w:tc>
      </w:tr>
      <w:tr w:rsidR="00160103" w:rsidRPr="00975B07" w:rsidTr="004521FD">
        <w:trPr>
          <w:trHeight w:val="413"/>
        </w:trPr>
        <w:tc>
          <w:tcPr>
            <w:tcW w:w="2438" w:type="dxa"/>
            <w:tcBorders>
              <w:bottom w:val="single" w:sz="8" w:space="0" w:color="000000"/>
              <w:right w:val="nil"/>
            </w:tcBorders>
          </w:tcPr>
          <w:p w:rsidR="00160103" w:rsidRDefault="00160103" w:rsidP="001601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Appendix 1</w:t>
            </w:r>
          </w:p>
        </w:tc>
        <w:tc>
          <w:tcPr>
            <w:tcW w:w="6407" w:type="dxa"/>
            <w:tcBorders>
              <w:left w:val="nil"/>
              <w:bottom w:val="single" w:sz="8" w:space="0" w:color="000000"/>
            </w:tcBorders>
          </w:tcPr>
          <w:p w:rsidR="00160103" w:rsidRDefault="00160103" w:rsidP="008925F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List of Recommendations</w:t>
            </w:r>
          </w:p>
        </w:tc>
      </w:tr>
      <w:tr w:rsidR="00160103" w:rsidRPr="00975B07" w:rsidTr="004521FD">
        <w:trPr>
          <w:trHeight w:val="413"/>
        </w:trPr>
        <w:tc>
          <w:tcPr>
            <w:tcW w:w="2438" w:type="dxa"/>
            <w:tcBorders>
              <w:bottom w:val="single" w:sz="8" w:space="0" w:color="000000"/>
              <w:right w:val="nil"/>
            </w:tcBorders>
          </w:tcPr>
          <w:p w:rsidR="00160103" w:rsidRDefault="00160103" w:rsidP="001601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Appendix 2</w:t>
            </w:r>
          </w:p>
        </w:tc>
        <w:tc>
          <w:tcPr>
            <w:tcW w:w="6407" w:type="dxa"/>
            <w:tcBorders>
              <w:left w:val="nil"/>
              <w:bottom w:val="single" w:sz="8" w:space="0" w:color="000000"/>
            </w:tcBorders>
          </w:tcPr>
          <w:p w:rsidR="00160103" w:rsidRDefault="00DE780E" w:rsidP="008925F0">
            <w:pPr>
              <w:rPr>
                <w:b/>
                <w:bCs/>
                <w:sz w:val="23"/>
                <w:szCs w:val="23"/>
              </w:rPr>
            </w:pPr>
            <w:r w:rsidRPr="00DE780E">
              <w:rPr>
                <w:b/>
                <w:bCs/>
                <w:sz w:val="23"/>
                <w:szCs w:val="23"/>
              </w:rPr>
              <w:t>Publication of councillors’ and candidates’ home addresses</w:t>
            </w:r>
          </w:p>
        </w:tc>
      </w:tr>
      <w:tr w:rsidR="004521FD" w:rsidRPr="00975B07" w:rsidTr="004521FD">
        <w:trPr>
          <w:trHeight w:val="413"/>
        </w:trPr>
        <w:tc>
          <w:tcPr>
            <w:tcW w:w="2438" w:type="dxa"/>
            <w:tcBorders>
              <w:bottom w:val="single" w:sz="8" w:space="0" w:color="000000"/>
              <w:right w:val="nil"/>
            </w:tcBorders>
          </w:tcPr>
          <w:p w:rsidR="004521FD" w:rsidRDefault="000C4E7F" w:rsidP="001601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Appendix </w:t>
            </w:r>
            <w:r w:rsidR="00160103">
              <w:rPr>
                <w:rStyle w:val="Firstpagetablebold"/>
              </w:rPr>
              <w:t>3</w:t>
            </w:r>
          </w:p>
        </w:tc>
        <w:tc>
          <w:tcPr>
            <w:tcW w:w="6407" w:type="dxa"/>
            <w:tcBorders>
              <w:left w:val="nil"/>
              <w:bottom w:val="single" w:sz="8" w:space="0" w:color="000000"/>
            </w:tcBorders>
          </w:tcPr>
          <w:p w:rsidR="00374409" w:rsidRPr="005C2D69" w:rsidRDefault="00DE780E" w:rsidP="00DE780E">
            <w:pPr>
              <w:rPr>
                <w:rStyle w:val="Firstpagetablebold"/>
                <w:rFonts w:eastAsiaTheme="minorHAnsi" w:cs="Arial"/>
                <w:color w:val="auto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List of Best Practice </w:t>
            </w:r>
          </w:p>
        </w:tc>
      </w:tr>
    </w:tbl>
    <w:p w:rsidR="00CE544A" w:rsidRPr="009E51FC" w:rsidRDefault="00CE544A" w:rsidP="004A6D2F"/>
    <w:p w:rsidR="0040736F" w:rsidRPr="004521FD" w:rsidRDefault="00F66DCA" w:rsidP="004A6D2F">
      <w:pPr>
        <w:pStyle w:val="Heading1"/>
        <w:rPr>
          <w:color w:val="auto"/>
        </w:rPr>
      </w:pPr>
      <w:r w:rsidRPr="004521FD">
        <w:rPr>
          <w:color w:val="auto"/>
        </w:rPr>
        <w:t>Introduction and b</w:t>
      </w:r>
      <w:r w:rsidR="00151888" w:rsidRPr="004521FD">
        <w:rPr>
          <w:color w:val="auto"/>
        </w:rPr>
        <w:t>ackground</w:t>
      </w:r>
      <w:r w:rsidR="00404032" w:rsidRPr="004521FD">
        <w:rPr>
          <w:color w:val="auto"/>
        </w:rPr>
        <w:t xml:space="preserve"> </w:t>
      </w:r>
    </w:p>
    <w:p w:rsidR="004521FD" w:rsidRDefault="00506109" w:rsidP="008925F0">
      <w:pPr>
        <w:pStyle w:val="ListParagraph"/>
        <w:numPr>
          <w:ilvl w:val="0"/>
          <w:numId w:val="6"/>
        </w:numPr>
        <w:shd w:val="clear" w:color="auto" w:fill="FFFFFF"/>
        <w:spacing w:after="0"/>
        <w:ind w:left="426" w:hanging="426"/>
        <w:rPr>
          <w:rFonts w:cs="Arial"/>
          <w:color w:val="auto"/>
        </w:rPr>
      </w:pPr>
      <w:r w:rsidRPr="000C4E7F">
        <w:rPr>
          <w:rFonts w:cs="Arial"/>
          <w:color w:val="auto"/>
        </w:rPr>
        <w:t>In 2018 t</w:t>
      </w:r>
      <w:r w:rsidR="004521FD" w:rsidRPr="000C4E7F">
        <w:rPr>
          <w:rFonts w:cs="Arial"/>
          <w:color w:val="auto"/>
        </w:rPr>
        <w:t xml:space="preserve">he Committee on Standards in Public Life </w:t>
      </w:r>
      <w:r w:rsidR="000C4E7F" w:rsidRPr="000C4E7F">
        <w:rPr>
          <w:rFonts w:cs="Arial"/>
          <w:color w:val="auto"/>
        </w:rPr>
        <w:t xml:space="preserve">(“the CSPL”) </w:t>
      </w:r>
      <w:r w:rsidRPr="000C4E7F">
        <w:rPr>
          <w:rFonts w:cs="Arial"/>
          <w:color w:val="auto"/>
        </w:rPr>
        <w:t>undertook</w:t>
      </w:r>
      <w:r w:rsidR="004521FD" w:rsidRPr="000C4E7F">
        <w:rPr>
          <w:rFonts w:cs="Arial"/>
          <w:color w:val="auto"/>
        </w:rPr>
        <w:t xml:space="preserve"> a review of local government ethical standards. </w:t>
      </w:r>
      <w:r w:rsidR="009153D7" w:rsidRPr="000C4E7F">
        <w:rPr>
          <w:rFonts w:cs="Arial"/>
          <w:color w:val="auto"/>
        </w:rPr>
        <w:t xml:space="preserve">The </w:t>
      </w:r>
      <w:r w:rsidR="000C4E7F" w:rsidRPr="000C4E7F">
        <w:rPr>
          <w:rFonts w:cs="Arial"/>
          <w:color w:val="auto"/>
        </w:rPr>
        <w:t>CSPL</w:t>
      </w:r>
      <w:r w:rsidR="009153D7" w:rsidRPr="000C4E7F">
        <w:rPr>
          <w:rFonts w:cs="Arial"/>
          <w:color w:val="auto"/>
        </w:rPr>
        <w:t xml:space="preserve"> considers that robust standards arrangements are needed to safeguard local democracy, maintain high standards of conduct, and to protect ethical practice in local government. </w:t>
      </w:r>
    </w:p>
    <w:p w:rsidR="000C4E7F" w:rsidRPr="000C4E7F" w:rsidRDefault="000C4E7F" w:rsidP="000C4E7F">
      <w:pPr>
        <w:shd w:val="clear" w:color="auto" w:fill="FFFFFF"/>
        <w:spacing w:after="0"/>
        <w:rPr>
          <w:rFonts w:cs="Arial"/>
          <w:color w:val="auto"/>
        </w:rPr>
      </w:pPr>
    </w:p>
    <w:p w:rsidR="00A62A5C" w:rsidRDefault="00313D2C" w:rsidP="008925F0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 w:rsidRPr="0030365D">
        <w:rPr>
          <w:color w:val="auto"/>
        </w:rPr>
        <w:t xml:space="preserve">The </w:t>
      </w:r>
      <w:r w:rsidR="000C4E7F">
        <w:rPr>
          <w:color w:val="auto"/>
        </w:rPr>
        <w:t>CSPL</w:t>
      </w:r>
      <w:r w:rsidRPr="0030365D">
        <w:rPr>
          <w:rFonts w:cs="Arial"/>
          <w:color w:val="auto"/>
        </w:rPr>
        <w:t xml:space="preserve"> </w:t>
      </w:r>
      <w:r w:rsidR="0030365D" w:rsidRPr="0030365D">
        <w:rPr>
          <w:rFonts w:cs="Arial"/>
          <w:color w:val="auto"/>
        </w:rPr>
        <w:t xml:space="preserve">published the </w:t>
      </w:r>
      <w:hyperlink r:id="rId9" w:history="1">
        <w:r w:rsidR="00A62A5C">
          <w:rPr>
            <w:rStyle w:val="Hyperlink"/>
            <w:lang w:val="en"/>
          </w:rPr>
          <w:t>Local Government E</w:t>
        </w:r>
        <w:r w:rsidR="00A62A5C" w:rsidRPr="00A62A5C">
          <w:rPr>
            <w:rStyle w:val="Hyperlink"/>
            <w:lang w:val="en"/>
          </w:rPr>
          <w:t>thical S</w:t>
        </w:r>
        <w:r w:rsidR="0030365D" w:rsidRPr="00A62A5C">
          <w:rPr>
            <w:rStyle w:val="Hyperlink"/>
            <w:lang w:val="en"/>
          </w:rPr>
          <w:t>tandar</w:t>
        </w:r>
        <w:r w:rsidR="00A62A5C">
          <w:rPr>
            <w:rStyle w:val="Hyperlink"/>
            <w:lang w:val="en"/>
          </w:rPr>
          <w:t>ds r</w:t>
        </w:r>
        <w:r w:rsidR="0030365D" w:rsidRPr="00A62A5C">
          <w:rPr>
            <w:rStyle w:val="Hyperlink"/>
            <w:lang w:val="en"/>
          </w:rPr>
          <w:t>eport</w:t>
        </w:r>
      </w:hyperlink>
      <w:r w:rsidR="0030365D" w:rsidRPr="00A62A5C">
        <w:rPr>
          <w:lang w:val="en"/>
        </w:rPr>
        <w:t xml:space="preserve"> </w:t>
      </w:r>
      <w:r w:rsidR="0030365D" w:rsidRPr="00A62A5C">
        <w:rPr>
          <w:rFonts w:cs="Arial"/>
          <w:color w:val="auto"/>
        </w:rPr>
        <w:t>on 30 January 2019</w:t>
      </w:r>
      <w:r w:rsidR="00293776">
        <w:rPr>
          <w:rFonts w:cs="Arial"/>
          <w:color w:val="auto"/>
        </w:rPr>
        <w:t xml:space="preserve"> (the CSPL report)</w:t>
      </w:r>
      <w:r w:rsidR="0030365D" w:rsidRPr="00A62A5C">
        <w:rPr>
          <w:rFonts w:cs="Arial"/>
          <w:color w:val="auto"/>
        </w:rPr>
        <w:t>.</w:t>
      </w:r>
      <w:r w:rsidRPr="00A62A5C">
        <w:rPr>
          <w:color w:val="auto"/>
        </w:rPr>
        <w:t xml:space="preserve"> </w:t>
      </w:r>
    </w:p>
    <w:p w:rsidR="00A62A5C" w:rsidRPr="00A62A5C" w:rsidRDefault="00A62A5C" w:rsidP="00D67226">
      <w:pPr>
        <w:spacing w:after="0"/>
        <w:rPr>
          <w:color w:val="auto"/>
        </w:rPr>
      </w:pPr>
    </w:p>
    <w:p w:rsidR="00BD5434" w:rsidRPr="00B46BAD" w:rsidRDefault="00BD5434" w:rsidP="00BD5434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ind w:left="426" w:hanging="426"/>
        <w:rPr>
          <w:color w:val="FF0000"/>
        </w:rPr>
      </w:pPr>
      <w:r w:rsidRPr="00B46BAD">
        <w:rPr>
          <w:color w:val="auto"/>
        </w:rPr>
        <w:t xml:space="preserve">The CSPL report contains 26 recommendations </w:t>
      </w:r>
      <w:r w:rsidR="00117E07">
        <w:rPr>
          <w:color w:val="auto"/>
        </w:rPr>
        <w:t xml:space="preserve">which </w:t>
      </w:r>
      <w:r w:rsidRPr="00B46BAD">
        <w:rPr>
          <w:color w:val="auto"/>
        </w:rPr>
        <w:t xml:space="preserve">are listed in </w:t>
      </w:r>
      <w:r w:rsidRPr="00B46BAD">
        <w:rPr>
          <w:b/>
          <w:color w:val="auto"/>
        </w:rPr>
        <w:t>Appendix 1</w:t>
      </w:r>
      <w:r w:rsidRPr="00B46BAD">
        <w:rPr>
          <w:color w:val="auto"/>
        </w:rPr>
        <w:t xml:space="preserve">.  Many of these recommendations will </w:t>
      </w:r>
      <w:r w:rsidR="00023BF4" w:rsidRPr="00B46BAD">
        <w:rPr>
          <w:color w:val="auto"/>
        </w:rPr>
        <w:t xml:space="preserve">involve legislative change. </w:t>
      </w:r>
      <w:r w:rsidRPr="00B46BAD">
        <w:rPr>
          <w:color w:val="auto"/>
        </w:rPr>
        <w:t>The Government has yet to publish a formal response to the CSPL report</w:t>
      </w:r>
      <w:r w:rsidR="00B46BAD" w:rsidRPr="00B46BAD">
        <w:rPr>
          <w:color w:val="auto"/>
        </w:rPr>
        <w:t>.</w:t>
      </w:r>
      <w:r w:rsidRPr="00B46BAD">
        <w:rPr>
          <w:color w:val="auto"/>
        </w:rPr>
        <w:t xml:space="preserve"> </w:t>
      </w:r>
    </w:p>
    <w:p w:rsidR="00B46BAD" w:rsidRPr="004A1F3F" w:rsidRDefault="00B46BAD" w:rsidP="004A1F3F">
      <w:pPr>
        <w:rPr>
          <w:color w:val="FF0000"/>
        </w:rPr>
      </w:pPr>
    </w:p>
    <w:p w:rsidR="004A1F3F" w:rsidRDefault="004A1F3F" w:rsidP="00293776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 w:rsidRPr="004A1F3F">
        <w:rPr>
          <w:color w:val="auto"/>
        </w:rPr>
        <w:t xml:space="preserve">In March 2019 the Minister for Local Government wrote to the leaders of all local authorities regarding changes to the rules applying to local government elections on the </w:t>
      </w:r>
      <w:r>
        <w:rPr>
          <w:color w:val="auto"/>
        </w:rPr>
        <w:t>“p</w:t>
      </w:r>
      <w:r w:rsidRPr="004A1F3F">
        <w:rPr>
          <w:color w:val="auto"/>
        </w:rPr>
        <w:t>ublication of councillors’ and candidates’ home addresses</w:t>
      </w:r>
      <w:r>
        <w:rPr>
          <w:color w:val="auto"/>
        </w:rPr>
        <w:t xml:space="preserve">” </w:t>
      </w:r>
      <w:r w:rsidRPr="004A1F3F">
        <w:rPr>
          <w:b/>
          <w:color w:val="auto"/>
        </w:rPr>
        <w:t>(Appendix 2).</w:t>
      </w:r>
      <w:r>
        <w:rPr>
          <w:b/>
          <w:color w:val="auto"/>
        </w:rPr>
        <w:t xml:space="preserve"> </w:t>
      </w:r>
      <w:r w:rsidRPr="004A1F3F">
        <w:rPr>
          <w:color w:val="auto"/>
        </w:rPr>
        <w:t xml:space="preserve">The changes </w:t>
      </w:r>
      <w:r>
        <w:rPr>
          <w:color w:val="auto"/>
        </w:rPr>
        <w:t xml:space="preserve">presented </w:t>
      </w:r>
      <w:r w:rsidR="00293776">
        <w:rPr>
          <w:color w:val="auto"/>
        </w:rPr>
        <w:t>were</w:t>
      </w:r>
      <w:r w:rsidRPr="004A1F3F">
        <w:rPr>
          <w:color w:val="auto"/>
        </w:rPr>
        <w:t xml:space="preserve"> the subject of a recommendation in the Parliamentary Committee on Standards in Public Life report: ‘Review of Intimidation in Public Life’</w:t>
      </w:r>
      <w:r w:rsidR="00293776">
        <w:rPr>
          <w:color w:val="auto"/>
        </w:rPr>
        <w:t xml:space="preserve"> and also form part of Recommendation 2 of the CSPL report. These changes were in place for the local and European elections in May 2019.</w:t>
      </w:r>
    </w:p>
    <w:p w:rsidR="00F7718B" w:rsidRPr="00F7718B" w:rsidRDefault="00F7718B" w:rsidP="00F7718B">
      <w:pPr>
        <w:spacing w:after="0"/>
        <w:rPr>
          <w:color w:val="auto"/>
        </w:rPr>
      </w:pPr>
    </w:p>
    <w:p w:rsidR="00F7718B" w:rsidRPr="00877B03" w:rsidRDefault="00F7718B" w:rsidP="00877B03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 w:rsidRPr="00877B03">
        <w:rPr>
          <w:color w:val="auto"/>
        </w:rPr>
        <w:t xml:space="preserve">The same letter also </w:t>
      </w:r>
      <w:r w:rsidR="00877B03">
        <w:rPr>
          <w:color w:val="auto"/>
        </w:rPr>
        <w:t>referenced</w:t>
      </w:r>
      <w:r w:rsidRPr="00877B03">
        <w:rPr>
          <w:color w:val="auto"/>
        </w:rPr>
        <w:t xml:space="preserve"> a further recommendation from that same report </w:t>
      </w:r>
      <w:r w:rsidR="00877B03">
        <w:rPr>
          <w:color w:val="auto"/>
        </w:rPr>
        <w:t xml:space="preserve">(Review of Intimidation in Public Life) </w:t>
      </w:r>
      <w:r w:rsidRPr="00877B03">
        <w:rPr>
          <w:color w:val="auto"/>
        </w:rPr>
        <w:t xml:space="preserve">concerning the </w:t>
      </w:r>
      <w:r w:rsidR="00877B03">
        <w:rPr>
          <w:color w:val="auto"/>
        </w:rPr>
        <w:t>“h</w:t>
      </w:r>
      <w:r w:rsidRPr="00877B03">
        <w:rPr>
          <w:color w:val="auto"/>
        </w:rPr>
        <w:t>andling of sensitive interests</w:t>
      </w:r>
      <w:r w:rsidR="00877B03">
        <w:rPr>
          <w:color w:val="auto"/>
        </w:rPr>
        <w:t>” and the action on</w:t>
      </w:r>
      <w:r w:rsidR="00877B03" w:rsidRPr="00877B03">
        <w:rPr>
          <w:color w:val="auto"/>
        </w:rPr>
        <w:t xml:space="preserve"> </w:t>
      </w:r>
      <w:r w:rsidRPr="00877B03">
        <w:rPr>
          <w:color w:val="auto"/>
        </w:rPr>
        <w:t xml:space="preserve">local authority monitoring officers </w:t>
      </w:r>
      <w:r w:rsidR="00877B03">
        <w:rPr>
          <w:color w:val="auto"/>
        </w:rPr>
        <w:t>to</w:t>
      </w:r>
      <w:r w:rsidRPr="00877B03">
        <w:rPr>
          <w:color w:val="auto"/>
        </w:rPr>
        <w:t xml:space="preserve"> ensure that councillors required to declare pecuniary interests are aware of the sensitive interest provisions in the Localism Act 2011.</w:t>
      </w:r>
      <w:r w:rsidR="00877B03">
        <w:rPr>
          <w:color w:val="auto"/>
        </w:rPr>
        <w:t xml:space="preserve">  This issue </w:t>
      </w:r>
      <w:r w:rsidR="00117E07">
        <w:rPr>
          <w:color w:val="auto"/>
        </w:rPr>
        <w:t>is</w:t>
      </w:r>
      <w:r w:rsidR="00877B03">
        <w:rPr>
          <w:color w:val="auto"/>
        </w:rPr>
        <w:t xml:space="preserve"> included as part of the compulsory Code of Conduct training </w:t>
      </w:r>
      <w:r w:rsidR="00117E07">
        <w:rPr>
          <w:color w:val="auto"/>
        </w:rPr>
        <w:t xml:space="preserve">to be </w:t>
      </w:r>
      <w:r w:rsidR="00877B03">
        <w:rPr>
          <w:color w:val="auto"/>
        </w:rPr>
        <w:t>delivered by the Monitoring Officer to all City Councillors in June and July 2019.</w:t>
      </w:r>
    </w:p>
    <w:p w:rsidR="00E61108" w:rsidRPr="000C4E7F" w:rsidRDefault="00E61108" w:rsidP="008925F0">
      <w:pPr>
        <w:spacing w:after="0"/>
        <w:ind w:left="284" w:hanging="284"/>
        <w:rPr>
          <w:color w:val="FF0000"/>
        </w:rPr>
      </w:pPr>
    </w:p>
    <w:p w:rsidR="0000298D" w:rsidRPr="00DE780E" w:rsidRDefault="00E61108" w:rsidP="00293776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 w:rsidRPr="00DE780E">
        <w:rPr>
          <w:color w:val="auto"/>
        </w:rPr>
        <w:t>The</w:t>
      </w:r>
      <w:r w:rsidR="00281778" w:rsidRPr="00DE780E">
        <w:rPr>
          <w:color w:val="auto"/>
        </w:rPr>
        <w:t xml:space="preserve"> </w:t>
      </w:r>
      <w:r w:rsidR="00160103" w:rsidRPr="00DE780E">
        <w:rPr>
          <w:color w:val="auto"/>
        </w:rPr>
        <w:t>CSPL r</w:t>
      </w:r>
      <w:r w:rsidRPr="00DE780E">
        <w:rPr>
          <w:color w:val="auto"/>
        </w:rPr>
        <w:t>e</w:t>
      </w:r>
      <w:r w:rsidR="00281778" w:rsidRPr="00DE780E">
        <w:rPr>
          <w:color w:val="auto"/>
        </w:rPr>
        <w:t xml:space="preserve">port </w:t>
      </w:r>
      <w:r w:rsidR="00160103" w:rsidRPr="00DE780E">
        <w:rPr>
          <w:color w:val="auto"/>
        </w:rPr>
        <w:t>include</w:t>
      </w:r>
      <w:r w:rsidR="00BD5434">
        <w:rPr>
          <w:color w:val="auto"/>
        </w:rPr>
        <w:t>s</w:t>
      </w:r>
      <w:r w:rsidR="00281778" w:rsidRPr="00DE780E">
        <w:rPr>
          <w:color w:val="auto"/>
        </w:rPr>
        <w:t xml:space="preserve"> </w:t>
      </w:r>
      <w:r w:rsidR="00DE780E" w:rsidRPr="00DE780E">
        <w:rPr>
          <w:color w:val="auto"/>
        </w:rPr>
        <w:t>15</w:t>
      </w:r>
      <w:r w:rsidRPr="00DE780E">
        <w:rPr>
          <w:color w:val="auto"/>
        </w:rPr>
        <w:t xml:space="preserve"> best practice </w:t>
      </w:r>
      <w:r w:rsidR="00160103" w:rsidRPr="00DE780E">
        <w:rPr>
          <w:color w:val="auto"/>
        </w:rPr>
        <w:t>proposals</w:t>
      </w:r>
      <w:r w:rsidRPr="00DE780E">
        <w:rPr>
          <w:color w:val="auto"/>
        </w:rPr>
        <w:t xml:space="preserve"> for local authorities</w:t>
      </w:r>
      <w:r w:rsidR="00491F31" w:rsidRPr="00DE780E">
        <w:rPr>
          <w:color w:val="auto"/>
        </w:rPr>
        <w:t xml:space="preserve"> to implement</w:t>
      </w:r>
      <w:r w:rsidRPr="00DE780E">
        <w:rPr>
          <w:color w:val="auto"/>
        </w:rPr>
        <w:t>. The CSPL has said that it will review the</w:t>
      </w:r>
      <w:r w:rsidR="00160103" w:rsidRPr="00DE780E">
        <w:rPr>
          <w:color w:val="auto"/>
        </w:rPr>
        <w:t xml:space="preserve"> progress on</w:t>
      </w:r>
      <w:r w:rsidRPr="00DE780E">
        <w:rPr>
          <w:color w:val="auto"/>
        </w:rPr>
        <w:t xml:space="preserve"> implementation in 2020.</w:t>
      </w:r>
      <w:r w:rsidR="00491F31" w:rsidRPr="00DE780E">
        <w:rPr>
          <w:color w:val="auto"/>
        </w:rPr>
        <w:t xml:space="preserve"> </w:t>
      </w:r>
      <w:r w:rsidR="00491F31" w:rsidRPr="00DE780E">
        <w:rPr>
          <w:b/>
          <w:color w:val="auto"/>
        </w:rPr>
        <w:t>Appendix 3</w:t>
      </w:r>
      <w:r w:rsidR="00491F31" w:rsidRPr="00DE780E">
        <w:rPr>
          <w:color w:val="auto"/>
        </w:rPr>
        <w:t xml:space="preserve"> lists those best practice proposals and summarises the Council’s progress in implementing them.  </w:t>
      </w:r>
      <w:r w:rsidR="00DE780E" w:rsidRPr="00DE780E">
        <w:rPr>
          <w:color w:val="auto"/>
        </w:rPr>
        <w:t xml:space="preserve">10 of the best practice proposals are already in place and the remaining 5 are under </w:t>
      </w:r>
      <w:bookmarkStart w:id="0" w:name="_GoBack"/>
      <w:bookmarkEnd w:id="0"/>
      <w:r w:rsidR="00DE780E" w:rsidRPr="00DE780E">
        <w:rPr>
          <w:color w:val="auto"/>
        </w:rPr>
        <w:t xml:space="preserve">consideration within the Council or in consultation with </w:t>
      </w:r>
      <w:r w:rsidR="006A6984" w:rsidRPr="00DE780E">
        <w:rPr>
          <w:color w:val="auto"/>
        </w:rPr>
        <w:t>the other Oxfordshire authorities since they each adopted the same shared code</w:t>
      </w:r>
      <w:r w:rsidR="00DE780E" w:rsidRPr="00DE780E">
        <w:rPr>
          <w:color w:val="auto"/>
        </w:rPr>
        <w:t xml:space="preserve"> of conduct</w:t>
      </w:r>
      <w:r w:rsidR="006A6984" w:rsidRPr="00DE780E">
        <w:rPr>
          <w:color w:val="auto"/>
        </w:rPr>
        <w:t>.</w:t>
      </w:r>
      <w:r w:rsidR="00DE780E" w:rsidRPr="00DE780E">
        <w:rPr>
          <w:color w:val="auto"/>
        </w:rPr>
        <w:t xml:space="preserve">  It is anticipated that the Council will be able to demonstrate compliance with each of the best practice recommendations by early 2020.</w:t>
      </w:r>
    </w:p>
    <w:p w:rsidR="0000298D" w:rsidRPr="000C4E7F" w:rsidRDefault="0000298D" w:rsidP="008925F0">
      <w:pPr>
        <w:tabs>
          <w:tab w:val="left" w:pos="426"/>
        </w:tabs>
        <w:spacing w:after="0"/>
        <w:ind w:left="426" w:hanging="426"/>
        <w:rPr>
          <w:color w:val="FF0000"/>
        </w:rPr>
      </w:pPr>
    </w:p>
    <w:p w:rsidR="00E302F1" w:rsidRPr="008D6BB2" w:rsidRDefault="00E302F1" w:rsidP="008925F0">
      <w:pPr>
        <w:tabs>
          <w:tab w:val="left" w:pos="426"/>
        </w:tabs>
        <w:ind w:left="426" w:hanging="426"/>
        <w:rPr>
          <w:b/>
          <w:color w:val="auto"/>
        </w:rPr>
      </w:pPr>
      <w:r w:rsidRPr="008D6BB2">
        <w:rPr>
          <w:b/>
          <w:color w:val="auto"/>
        </w:rPr>
        <w:t>Legal implications</w:t>
      </w:r>
    </w:p>
    <w:p w:rsidR="008D6BB2" w:rsidRDefault="008D6BB2" w:rsidP="008925F0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 w:rsidRPr="008D6BB2">
        <w:rPr>
          <w:color w:val="auto"/>
        </w:rPr>
        <w:t>None – for information only.</w:t>
      </w:r>
    </w:p>
    <w:p w:rsidR="009153D7" w:rsidRPr="009153D7" w:rsidRDefault="009153D7" w:rsidP="008925F0">
      <w:pPr>
        <w:tabs>
          <w:tab w:val="left" w:pos="426"/>
        </w:tabs>
        <w:spacing w:after="0"/>
        <w:ind w:left="426" w:hanging="426"/>
        <w:rPr>
          <w:color w:val="auto"/>
        </w:rPr>
      </w:pPr>
    </w:p>
    <w:p w:rsidR="009153D7" w:rsidRPr="009153D7" w:rsidRDefault="009153D7" w:rsidP="008925F0">
      <w:pPr>
        <w:tabs>
          <w:tab w:val="left" w:pos="426"/>
        </w:tabs>
        <w:ind w:left="426" w:hanging="426"/>
        <w:rPr>
          <w:b/>
          <w:color w:val="auto"/>
        </w:rPr>
      </w:pPr>
      <w:r w:rsidRPr="009153D7">
        <w:rPr>
          <w:b/>
          <w:color w:val="auto"/>
        </w:rPr>
        <w:t>Financial implications</w:t>
      </w:r>
    </w:p>
    <w:p w:rsidR="009153D7" w:rsidRPr="009153D7" w:rsidRDefault="009153D7" w:rsidP="008925F0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 w:rsidRPr="009153D7">
        <w:rPr>
          <w:color w:val="auto"/>
        </w:rPr>
        <w:t>None – for information only.</w:t>
      </w:r>
    </w:p>
    <w:p w:rsidR="004E3B9B" w:rsidRPr="004E3B9B" w:rsidRDefault="004E3B9B" w:rsidP="008925F0">
      <w:pPr>
        <w:tabs>
          <w:tab w:val="left" w:pos="426"/>
        </w:tabs>
        <w:spacing w:after="0"/>
        <w:ind w:left="426" w:hanging="426"/>
        <w:rPr>
          <w:color w:val="auto"/>
        </w:rPr>
      </w:pPr>
    </w:p>
    <w:p w:rsidR="00E302F1" w:rsidRPr="00E302F1" w:rsidRDefault="00E302F1" w:rsidP="008925F0">
      <w:pPr>
        <w:tabs>
          <w:tab w:val="left" w:pos="426"/>
        </w:tabs>
        <w:ind w:left="426" w:hanging="426"/>
        <w:rPr>
          <w:b/>
          <w:color w:val="auto"/>
        </w:rPr>
      </w:pPr>
      <w:r w:rsidRPr="00E302F1">
        <w:rPr>
          <w:b/>
          <w:color w:val="auto"/>
        </w:rPr>
        <w:t>Risk</w:t>
      </w:r>
      <w:r>
        <w:rPr>
          <w:b/>
          <w:color w:val="auto"/>
        </w:rPr>
        <w:t xml:space="preserve"> management</w:t>
      </w:r>
    </w:p>
    <w:p w:rsidR="00E302F1" w:rsidRDefault="008D6BB2" w:rsidP="008925F0">
      <w:pPr>
        <w:pStyle w:val="ListParagraph"/>
        <w:numPr>
          <w:ilvl w:val="0"/>
          <w:numId w:val="6"/>
        </w:numPr>
        <w:spacing w:after="0"/>
        <w:ind w:left="426" w:hanging="426"/>
        <w:rPr>
          <w:color w:val="auto"/>
        </w:rPr>
      </w:pPr>
      <w:r>
        <w:rPr>
          <w:color w:val="auto"/>
        </w:rPr>
        <w:t>None – for information only</w:t>
      </w:r>
      <w:r w:rsidR="00E302F1" w:rsidRPr="00E302F1">
        <w:rPr>
          <w:color w:val="auto"/>
        </w:rPr>
        <w:t>.</w:t>
      </w:r>
    </w:p>
    <w:p w:rsidR="002329CF" w:rsidRDefault="002329CF" w:rsidP="004A6D2F"/>
    <w:p w:rsidR="000C4E7F" w:rsidRDefault="000C4E7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0C4E7F" w:rsidRPr="0075171F" w:rsidTr="0017024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  <w:b/>
              </w:rPr>
            </w:pPr>
            <w:r w:rsidRPr="0075171F">
              <w:rPr>
                <w:rFonts w:cs="Arial"/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>Catherine Phythian</w:t>
            </w:r>
          </w:p>
        </w:tc>
      </w:tr>
      <w:tr w:rsidR="000C4E7F" w:rsidRPr="0075171F" w:rsidTr="0017024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>Committee and Members Services Officer</w:t>
            </w:r>
          </w:p>
        </w:tc>
      </w:tr>
      <w:tr w:rsidR="000C4E7F" w:rsidRPr="0075171F" w:rsidTr="0017024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>Law and Governance</w:t>
            </w:r>
          </w:p>
        </w:tc>
      </w:tr>
      <w:tr w:rsidR="000C4E7F" w:rsidRPr="0075171F" w:rsidTr="0017024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 xml:space="preserve">01865 252402  </w:t>
            </w:r>
          </w:p>
        </w:tc>
      </w:tr>
      <w:tr w:rsidR="000C4E7F" w:rsidRPr="0075171F" w:rsidTr="0017024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C4E7F" w:rsidRPr="0075171F" w:rsidRDefault="000C4E7F" w:rsidP="00170242">
            <w:pPr>
              <w:rPr>
                <w:rFonts w:cs="Arial"/>
              </w:rPr>
            </w:pPr>
            <w:r w:rsidRPr="0075171F">
              <w:rPr>
                <w:rFonts w:cs="Arial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4E7F" w:rsidRPr="0075171F" w:rsidRDefault="00117E07" w:rsidP="00170242">
            <w:pPr>
              <w:rPr>
                <w:rStyle w:val="Hyperlink"/>
                <w:rFonts w:cs="Arial"/>
                <w:color w:val="000000"/>
              </w:rPr>
            </w:pPr>
            <w:hyperlink r:id="rId10" w:history="1">
              <w:r w:rsidR="000C4E7F" w:rsidRPr="0075171F">
                <w:rPr>
                  <w:rStyle w:val="Hyperlink"/>
                  <w:rFonts w:cs="Arial"/>
                </w:rPr>
                <w:t>cphythian@oxford.gov.uk</w:t>
              </w:r>
            </w:hyperlink>
            <w:r w:rsidR="000C4E7F" w:rsidRPr="0075171F">
              <w:rPr>
                <w:rStyle w:val="Hyperlink"/>
                <w:rFonts w:cs="Arial"/>
                <w:color w:val="000000"/>
              </w:rPr>
              <w:t xml:space="preserve"> </w:t>
            </w:r>
          </w:p>
        </w:tc>
      </w:tr>
    </w:tbl>
    <w:p w:rsidR="00F066AA" w:rsidRPr="001356F1" w:rsidRDefault="00F066AA" w:rsidP="004A6D2F"/>
    <w:p w:rsidR="00B534F4" w:rsidRPr="00B534F4" w:rsidRDefault="00B534F4" w:rsidP="0093067A">
      <w:pPr>
        <w:rPr>
          <w:color w:val="FF0000"/>
        </w:rPr>
      </w:pPr>
    </w:p>
    <w:sectPr w:rsidR="00B534F4" w:rsidRPr="00B534F4" w:rsidSect="00010BD5">
      <w:footerReference w:type="even" r:id="rId11"/>
      <w:headerReference w:type="first" r:id="rId12"/>
      <w:footerReference w:type="first" r:id="rId13"/>
      <w:pgSz w:w="11906" w:h="16838" w:code="9"/>
      <w:pgMar w:top="1276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44" w:rsidRDefault="00F51944" w:rsidP="004A6D2F">
      <w:r>
        <w:separator/>
      </w:r>
    </w:p>
  </w:endnote>
  <w:endnote w:type="continuationSeparator" w:id="0">
    <w:p w:rsidR="00F51944" w:rsidRDefault="00F5194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44" w:rsidRDefault="00F51944" w:rsidP="004A6D2F">
      <w:r>
        <w:separator/>
      </w:r>
    </w:p>
  </w:footnote>
  <w:footnote w:type="continuationSeparator" w:id="0">
    <w:p w:rsidR="00F51944" w:rsidRDefault="00F5194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51944" w:rsidP="00D5547E">
    <w:pPr>
      <w:pStyle w:val="Header"/>
      <w:jc w:val="right"/>
    </w:pPr>
    <w:r>
      <w:rPr>
        <w:noProof/>
      </w:rPr>
      <w:drawing>
        <wp:inline distT="0" distB="0" distL="0" distR="0" wp14:anchorId="6721D9E0" wp14:editId="18B0659B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763"/>
    <w:multiLevelType w:val="hybridMultilevel"/>
    <w:tmpl w:val="CBBA40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923"/>
    <w:multiLevelType w:val="hybridMultilevel"/>
    <w:tmpl w:val="6F1858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70FC5"/>
    <w:multiLevelType w:val="hybridMultilevel"/>
    <w:tmpl w:val="53DE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74CC"/>
    <w:multiLevelType w:val="multilevel"/>
    <w:tmpl w:val="02E8C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A77091"/>
    <w:multiLevelType w:val="multilevel"/>
    <w:tmpl w:val="5D90BDB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7">
    <w:nsid w:val="1C731511"/>
    <w:multiLevelType w:val="hybridMultilevel"/>
    <w:tmpl w:val="549EA15E"/>
    <w:lvl w:ilvl="0" w:tplc="09BE04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50BD"/>
    <w:multiLevelType w:val="multilevel"/>
    <w:tmpl w:val="02E8C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9697A"/>
    <w:multiLevelType w:val="hybridMultilevel"/>
    <w:tmpl w:val="7B1E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16784"/>
    <w:multiLevelType w:val="hybridMultilevel"/>
    <w:tmpl w:val="677679FA"/>
    <w:lvl w:ilvl="0" w:tplc="C8B8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97006F"/>
    <w:multiLevelType w:val="hybridMultilevel"/>
    <w:tmpl w:val="B2B2F13E"/>
    <w:lvl w:ilvl="0" w:tplc="3F8C3C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9B08B7"/>
    <w:multiLevelType w:val="multilevel"/>
    <w:tmpl w:val="233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A35B37"/>
    <w:multiLevelType w:val="hybridMultilevel"/>
    <w:tmpl w:val="3DA6750A"/>
    <w:lvl w:ilvl="0" w:tplc="C8B8EB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A6761"/>
    <w:multiLevelType w:val="hybridMultilevel"/>
    <w:tmpl w:val="9B163640"/>
    <w:lvl w:ilvl="0" w:tplc="4AF4DC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68C7"/>
    <w:multiLevelType w:val="hybridMultilevel"/>
    <w:tmpl w:val="9E9C3A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F84429"/>
    <w:multiLevelType w:val="hybridMultilevel"/>
    <w:tmpl w:val="0562017C"/>
    <w:lvl w:ilvl="0" w:tplc="556C628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16E3"/>
    <w:multiLevelType w:val="hybridMultilevel"/>
    <w:tmpl w:val="7CB6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D282D"/>
    <w:multiLevelType w:val="multilevel"/>
    <w:tmpl w:val="02E8C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E25DD9"/>
    <w:multiLevelType w:val="hybridMultilevel"/>
    <w:tmpl w:val="1124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16223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9C3BE2"/>
    <w:multiLevelType w:val="hybridMultilevel"/>
    <w:tmpl w:val="2190E0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D66C53"/>
    <w:multiLevelType w:val="hybridMultilevel"/>
    <w:tmpl w:val="EC669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7B20A8"/>
    <w:multiLevelType w:val="hybridMultilevel"/>
    <w:tmpl w:val="FA5A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24565"/>
    <w:multiLevelType w:val="hybridMultilevel"/>
    <w:tmpl w:val="0A8C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C1AD5"/>
    <w:multiLevelType w:val="hybridMultilevel"/>
    <w:tmpl w:val="0BDA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2"/>
  </w:num>
  <w:num w:numId="5">
    <w:abstractNumId w:val="21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4"/>
  </w:num>
  <w:num w:numId="14">
    <w:abstractNumId w:val="18"/>
  </w:num>
  <w:num w:numId="15">
    <w:abstractNumId w:val="10"/>
  </w:num>
  <w:num w:numId="16">
    <w:abstractNumId w:val="27"/>
  </w:num>
  <w:num w:numId="17">
    <w:abstractNumId w:val="24"/>
  </w:num>
  <w:num w:numId="18">
    <w:abstractNumId w:val="12"/>
  </w:num>
  <w:num w:numId="19">
    <w:abstractNumId w:val="25"/>
  </w:num>
  <w:num w:numId="20">
    <w:abstractNumId w:val="19"/>
  </w:num>
  <w:num w:numId="21">
    <w:abstractNumId w:val="20"/>
  </w:num>
  <w:num w:numId="22">
    <w:abstractNumId w:val="5"/>
  </w:num>
  <w:num w:numId="23">
    <w:abstractNumId w:val="8"/>
  </w:num>
  <w:num w:numId="24">
    <w:abstractNumId w:val="23"/>
  </w:num>
  <w:num w:numId="25">
    <w:abstractNumId w:val="0"/>
  </w:num>
  <w:num w:numId="26">
    <w:abstractNumId w:val="26"/>
  </w:num>
  <w:num w:numId="27">
    <w:abstractNumId w:val="7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4"/>
    <w:rsid w:val="0000298D"/>
    <w:rsid w:val="00010BD5"/>
    <w:rsid w:val="000117D4"/>
    <w:rsid w:val="00023BF4"/>
    <w:rsid w:val="000314D7"/>
    <w:rsid w:val="00045F8B"/>
    <w:rsid w:val="00046D2B"/>
    <w:rsid w:val="00056263"/>
    <w:rsid w:val="00064D8A"/>
    <w:rsid w:val="00064F82"/>
    <w:rsid w:val="00066510"/>
    <w:rsid w:val="000736A0"/>
    <w:rsid w:val="00077523"/>
    <w:rsid w:val="000C089F"/>
    <w:rsid w:val="000C3928"/>
    <w:rsid w:val="000C4E7F"/>
    <w:rsid w:val="000C5E8E"/>
    <w:rsid w:val="000E53F5"/>
    <w:rsid w:val="000F4751"/>
    <w:rsid w:val="000F7B55"/>
    <w:rsid w:val="001028E3"/>
    <w:rsid w:val="0010524C"/>
    <w:rsid w:val="00111FB1"/>
    <w:rsid w:val="00113418"/>
    <w:rsid w:val="00117E07"/>
    <w:rsid w:val="001356F1"/>
    <w:rsid w:val="00136994"/>
    <w:rsid w:val="0014128E"/>
    <w:rsid w:val="00151888"/>
    <w:rsid w:val="00160103"/>
    <w:rsid w:val="001657A8"/>
    <w:rsid w:val="00170A2D"/>
    <w:rsid w:val="001808BC"/>
    <w:rsid w:val="00182B81"/>
    <w:rsid w:val="0018619D"/>
    <w:rsid w:val="001A011E"/>
    <w:rsid w:val="001A066A"/>
    <w:rsid w:val="001A0765"/>
    <w:rsid w:val="001A13E6"/>
    <w:rsid w:val="001A5731"/>
    <w:rsid w:val="001B42C3"/>
    <w:rsid w:val="001B4BEF"/>
    <w:rsid w:val="001C303A"/>
    <w:rsid w:val="001C5D5E"/>
    <w:rsid w:val="001D678D"/>
    <w:rsid w:val="001D76E8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71C8F"/>
    <w:rsid w:val="00281778"/>
    <w:rsid w:val="00284F85"/>
    <w:rsid w:val="00290915"/>
    <w:rsid w:val="00293776"/>
    <w:rsid w:val="0029713B"/>
    <w:rsid w:val="002A22E2"/>
    <w:rsid w:val="002C177C"/>
    <w:rsid w:val="002C64F7"/>
    <w:rsid w:val="002E4BEA"/>
    <w:rsid w:val="002E7A00"/>
    <w:rsid w:val="002E7C98"/>
    <w:rsid w:val="002F41F2"/>
    <w:rsid w:val="002F7F16"/>
    <w:rsid w:val="00301BF3"/>
    <w:rsid w:val="0030208D"/>
    <w:rsid w:val="0030365D"/>
    <w:rsid w:val="00313D2C"/>
    <w:rsid w:val="00323418"/>
    <w:rsid w:val="003357BF"/>
    <w:rsid w:val="00364FAD"/>
    <w:rsid w:val="0036738F"/>
    <w:rsid w:val="0036759C"/>
    <w:rsid w:val="00367AE5"/>
    <w:rsid w:val="00367D71"/>
    <w:rsid w:val="00374409"/>
    <w:rsid w:val="0038150A"/>
    <w:rsid w:val="003B6E75"/>
    <w:rsid w:val="003B7DA1"/>
    <w:rsid w:val="003D0379"/>
    <w:rsid w:val="003D2574"/>
    <w:rsid w:val="003D4C59"/>
    <w:rsid w:val="003E7685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47D5E"/>
    <w:rsid w:val="004521B7"/>
    <w:rsid w:val="004521FD"/>
    <w:rsid w:val="00462AB5"/>
    <w:rsid w:val="00465EAF"/>
    <w:rsid w:val="004738C5"/>
    <w:rsid w:val="00491046"/>
    <w:rsid w:val="00491F31"/>
    <w:rsid w:val="00493EB9"/>
    <w:rsid w:val="004A1F3F"/>
    <w:rsid w:val="004A2AC7"/>
    <w:rsid w:val="004A6D2F"/>
    <w:rsid w:val="004C2887"/>
    <w:rsid w:val="004D2626"/>
    <w:rsid w:val="004D6E26"/>
    <w:rsid w:val="004D6E89"/>
    <w:rsid w:val="004D77D3"/>
    <w:rsid w:val="004E2959"/>
    <w:rsid w:val="004E3A20"/>
    <w:rsid w:val="004E3B9B"/>
    <w:rsid w:val="004F20EF"/>
    <w:rsid w:val="0050321C"/>
    <w:rsid w:val="00506109"/>
    <w:rsid w:val="00515234"/>
    <w:rsid w:val="005408AA"/>
    <w:rsid w:val="0054712D"/>
    <w:rsid w:val="00547EF6"/>
    <w:rsid w:val="005570B5"/>
    <w:rsid w:val="00567E18"/>
    <w:rsid w:val="00575F5F"/>
    <w:rsid w:val="00581805"/>
    <w:rsid w:val="00585F76"/>
    <w:rsid w:val="005975B9"/>
    <w:rsid w:val="005A34E4"/>
    <w:rsid w:val="005B17F2"/>
    <w:rsid w:val="005B4F91"/>
    <w:rsid w:val="005B7FB0"/>
    <w:rsid w:val="005C2D69"/>
    <w:rsid w:val="005C35A5"/>
    <w:rsid w:val="005C577C"/>
    <w:rsid w:val="005D0621"/>
    <w:rsid w:val="005D1E27"/>
    <w:rsid w:val="005D2A3E"/>
    <w:rsid w:val="005E022E"/>
    <w:rsid w:val="005E101C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A6984"/>
    <w:rsid w:val="006C2806"/>
    <w:rsid w:val="006C2A29"/>
    <w:rsid w:val="006C64CF"/>
    <w:rsid w:val="006D17B1"/>
    <w:rsid w:val="006D4752"/>
    <w:rsid w:val="006D708A"/>
    <w:rsid w:val="006E14C1"/>
    <w:rsid w:val="006E1EF9"/>
    <w:rsid w:val="006F0292"/>
    <w:rsid w:val="006F1D18"/>
    <w:rsid w:val="006F27FA"/>
    <w:rsid w:val="006F416B"/>
    <w:rsid w:val="006F519B"/>
    <w:rsid w:val="00713675"/>
    <w:rsid w:val="00715823"/>
    <w:rsid w:val="00716B6A"/>
    <w:rsid w:val="007352EA"/>
    <w:rsid w:val="00737B93"/>
    <w:rsid w:val="00745BF0"/>
    <w:rsid w:val="00750C0D"/>
    <w:rsid w:val="007615FE"/>
    <w:rsid w:val="0076655C"/>
    <w:rsid w:val="007721E3"/>
    <w:rsid w:val="007742DC"/>
    <w:rsid w:val="00791437"/>
    <w:rsid w:val="007B0C2C"/>
    <w:rsid w:val="007B278E"/>
    <w:rsid w:val="007C5C23"/>
    <w:rsid w:val="007E2A26"/>
    <w:rsid w:val="007F2348"/>
    <w:rsid w:val="008009C3"/>
    <w:rsid w:val="00803F07"/>
    <w:rsid w:val="0080749A"/>
    <w:rsid w:val="00821FB8"/>
    <w:rsid w:val="00822ACD"/>
    <w:rsid w:val="00844F5F"/>
    <w:rsid w:val="00855C66"/>
    <w:rsid w:val="00871EE4"/>
    <w:rsid w:val="00874E39"/>
    <w:rsid w:val="00877B03"/>
    <w:rsid w:val="008925F0"/>
    <w:rsid w:val="008B293F"/>
    <w:rsid w:val="008B7371"/>
    <w:rsid w:val="008D3DDB"/>
    <w:rsid w:val="008D6BB2"/>
    <w:rsid w:val="008F573F"/>
    <w:rsid w:val="009034EC"/>
    <w:rsid w:val="009153D7"/>
    <w:rsid w:val="00917522"/>
    <w:rsid w:val="00925766"/>
    <w:rsid w:val="0093067A"/>
    <w:rsid w:val="00936295"/>
    <w:rsid w:val="00940AA0"/>
    <w:rsid w:val="00941C60"/>
    <w:rsid w:val="00966D42"/>
    <w:rsid w:val="00971689"/>
    <w:rsid w:val="00973E90"/>
    <w:rsid w:val="00975B07"/>
    <w:rsid w:val="00980B4A"/>
    <w:rsid w:val="009B15D1"/>
    <w:rsid w:val="009B3159"/>
    <w:rsid w:val="009D051D"/>
    <w:rsid w:val="009E3D0A"/>
    <w:rsid w:val="009E51FC"/>
    <w:rsid w:val="009F1D28"/>
    <w:rsid w:val="009F7618"/>
    <w:rsid w:val="00A04D23"/>
    <w:rsid w:val="00A06766"/>
    <w:rsid w:val="00A13765"/>
    <w:rsid w:val="00A17030"/>
    <w:rsid w:val="00A21B12"/>
    <w:rsid w:val="00A23F80"/>
    <w:rsid w:val="00A46E98"/>
    <w:rsid w:val="00A62A5C"/>
    <w:rsid w:val="00A6352B"/>
    <w:rsid w:val="00A701B5"/>
    <w:rsid w:val="00A714BB"/>
    <w:rsid w:val="00A92D8F"/>
    <w:rsid w:val="00AB2988"/>
    <w:rsid w:val="00AB7999"/>
    <w:rsid w:val="00AD3292"/>
    <w:rsid w:val="00AE3E93"/>
    <w:rsid w:val="00AE7AF0"/>
    <w:rsid w:val="00AF696C"/>
    <w:rsid w:val="00B147CB"/>
    <w:rsid w:val="00B3228A"/>
    <w:rsid w:val="00B46BAD"/>
    <w:rsid w:val="00B500CA"/>
    <w:rsid w:val="00B534F4"/>
    <w:rsid w:val="00B6532B"/>
    <w:rsid w:val="00B67F63"/>
    <w:rsid w:val="00B86314"/>
    <w:rsid w:val="00B96CEA"/>
    <w:rsid w:val="00BA1C2E"/>
    <w:rsid w:val="00BB0B19"/>
    <w:rsid w:val="00BC200B"/>
    <w:rsid w:val="00BC4756"/>
    <w:rsid w:val="00BC5A00"/>
    <w:rsid w:val="00BC69A4"/>
    <w:rsid w:val="00BD5434"/>
    <w:rsid w:val="00BE0680"/>
    <w:rsid w:val="00BE305F"/>
    <w:rsid w:val="00BE7BA3"/>
    <w:rsid w:val="00BF5682"/>
    <w:rsid w:val="00BF7B09"/>
    <w:rsid w:val="00C20A95"/>
    <w:rsid w:val="00C2476D"/>
    <w:rsid w:val="00C2692F"/>
    <w:rsid w:val="00C3207C"/>
    <w:rsid w:val="00C400E1"/>
    <w:rsid w:val="00C41187"/>
    <w:rsid w:val="00C55D85"/>
    <w:rsid w:val="00C63C31"/>
    <w:rsid w:val="00C65CC2"/>
    <w:rsid w:val="00C757A0"/>
    <w:rsid w:val="00C760DE"/>
    <w:rsid w:val="00C82630"/>
    <w:rsid w:val="00C85B4E"/>
    <w:rsid w:val="00C907F7"/>
    <w:rsid w:val="00C92ABC"/>
    <w:rsid w:val="00CA2103"/>
    <w:rsid w:val="00CA6763"/>
    <w:rsid w:val="00CB6B99"/>
    <w:rsid w:val="00CE4C87"/>
    <w:rsid w:val="00CE544A"/>
    <w:rsid w:val="00CF48E0"/>
    <w:rsid w:val="00D11E1C"/>
    <w:rsid w:val="00D160B0"/>
    <w:rsid w:val="00D17F94"/>
    <w:rsid w:val="00D223FC"/>
    <w:rsid w:val="00D26D1E"/>
    <w:rsid w:val="00D326E6"/>
    <w:rsid w:val="00D343E2"/>
    <w:rsid w:val="00D474CF"/>
    <w:rsid w:val="00D47F72"/>
    <w:rsid w:val="00D5547E"/>
    <w:rsid w:val="00D67226"/>
    <w:rsid w:val="00D869A1"/>
    <w:rsid w:val="00DA413F"/>
    <w:rsid w:val="00DA4584"/>
    <w:rsid w:val="00DA614B"/>
    <w:rsid w:val="00DC091B"/>
    <w:rsid w:val="00DC3060"/>
    <w:rsid w:val="00DD458E"/>
    <w:rsid w:val="00DE0FB2"/>
    <w:rsid w:val="00DE1E46"/>
    <w:rsid w:val="00DE780E"/>
    <w:rsid w:val="00DF093E"/>
    <w:rsid w:val="00E01F42"/>
    <w:rsid w:val="00E206D6"/>
    <w:rsid w:val="00E302F1"/>
    <w:rsid w:val="00E3366E"/>
    <w:rsid w:val="00E461E3"/>
    <w:rsid w:val="00E50857"/>
    <w:rsid w:val="00E52086"/>
    <w:rsid w:val="00E543A6"/>
    <w:rsid w:val="00E60479"/>
    <w:rsid w:val="00E61108"/>
    <w:rsid w:val="00E61D73"/>
    <w:rsid w:val="00E66EA9"/>
    <w:rsid w:val="00E73684"/>
    <w:rsid w:val="00E818D6"/>
    <w:rsid w:val="00E87F7A"/>
    <w:rsid w:val="00E96BD7"/>
    <w:rsid w:val="00EA0DB1"/>
    <w:rsid w:val="00EA0EE9"/>
    <w:rsid w:val="00ED065D"/>
    <w:rsid w:val="00ED52CA"/>
    <w:rsid w:val="00ED5860"/>
    <w:rsid w:val="00ED5B55"/>
    <w:rsid w:val="00EE35C9"/>
    <w:rsid w:val="00F05ECA"/>
    <w:rsid w:val="00F066AA"/>
    <w:rsid w:val="00F12144"/>
    <w:rsid w:val="00F22232"/>
    <w:rsid w:val="00F3566E"/>
    <w:rsid w:val="00F375FB"/>
    <w:rsid w:val="00F41AC1"/>
    <w:rsid w:val="00F4367A"/>
    <w:rsid w:val="00F445B1"/>
    <w:rsid w:val="00F45CD4"/>
    <w:rsid w:val="00F51944"/>
    <w:rsid w:val="00F66DCA"/>
    <w:rsid w:val="00F74F53"/>
    <w:rsid w:val="00F7606D"/>
    <w:rsid w:val="00F7718B"/>
    <w:rsid w:val="00F81670"/>
    <w:rsid w:val="00F82024"/>
    <w:rsid w:val="00F95BC9"/>
    <w:rsid w:val="00F97294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Body Text" w:uiPriority="1" w:qFormat="1"/>
    <w:lsdException w:name="Subtitle" w:uiPriority="11"/>
    <w:lsdException w:name="Hyperlink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570B5"/>
    <w:pPr>
      <w:numPr>
        <w:numId w:val="1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2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1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3B9B"/>
    <w:pPr>
      <w:widowControl w:val="0"/>
      <w:autoSpaceDE w:val="0"/>
      <w:autoSpaceDN w:val="0"/>
      <w:spacing w:after="0"/>
    </w:pPr>
    <w:rPr>
      <w:rFonts w:eastAsia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B9B"/>
    <w:rPr>
      <w:rFonts w:eastAsia="Arial" w:cs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2476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2A5C"/>
    <w:rPr>
      <w:i/>
      <w:iCs/>
    </w:rPr>
  </w:style>
  <w:style w:type="paragraph" w:customStyle="1" w:styleId="Default">
    <w:name w:val="Default"/>
    <w:rsid w:val="008925F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Body Text" w:uiPriority="1" w:qFormat="1"/>
    <w:lsdException w:name="Subtitle" w:uiPriority="11"/>
    <w:lsdException w:name="Hyperlink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570B5"/>
    <w:pPr>
      <w:numPr>
        <w:numId w:val="1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2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1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3B9B"/>
    <w:pPr>
      <w:widowControl w:val="0"/>
      <w:autoSpaceDE w:val="0"/>
      <w:autoSpaceDN w:val="0"/>
      <w:spacing w:after="0"/>
    </w:pPr>
    <w:rPr>
      <w:rFonts w:eastAsia="Arial" w:cs="Arial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B9B"/>
    <w:rPr>
      <w:rFonts w:eastAsia="Arial" w:cs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2476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2A5C"/>
    <w:rPr>
      <w:i/>
      <w:iCs/>
    </w:rPr>
  </w:style>
  <w:style w:type="paragraph" w:customStyle="1" w:styleId="Default">
    <w:name w:val="Default"/>
    <w:rsid w:val="008925F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phythian@ox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local-government-ethical-standards-repo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330C-F369-42CB-AAAE-B9F27284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18C36F77</Template>
  <TotalTime>171</TotalTime>
  <Pages>2</Pages>
  <Words>543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cphythian</cp:lastModifiedBy>
  <cp:revision>12</cp:revision>
  <cp:lastPrinted>2019-02-15T16:05:00Z</cp:lastPrinted>
  <dcterms:created xsi:type="dcterms:W3CDTF">2019-02-15T15:41:00Z</dcterms:created>
  <dcterms:modified xsi:type="dcterms:W3CDTF">2019-06-11T11:01:00Z</dcterms:modified>
</cp:coreProperties>
</file>